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SCHEDULE 14D-9</w:t>
      </w:r>
    </w:p>
    <w:p>
      <w:pPr>
        <w:spacing w:after="0" w:line="237" w:lineRule="exact"/>
        <w:rPr>
          <w:sz w:val="24"/>
          <w:szCs w:val="24"/>
          <w:color w:val="auto"/>
        </w:rPr>
      </w:pPr>
    </w:p>
    <w:p>
      <w:pPr>
        <w:jc w:val="center"/>
        <w:ind w:left="1540" w:right="1300"/>
        <w:spacing w:after="0" w:line="268" w:lineRule="auto"/>
        <w:rPr>
          <w:sz w:val="20"/>
          <w:szCs w:val="20"/>
          <w:color w:val="auto"/>
        </w:rPr>
      </w:pPr>
      <w:r>
        <w:rPr>
          <w:rFonts w:ascii="Times New Roman" w:cs="Times New Roman" w:eastAsia="Times New Roman" w:hAnsi="Times New Roman"/>
          <w:sz w:val="18"/>
          <w:szCs w:val="18"/>
          <w:b w:val="1"/>
          <w:bCs w:val="1"/>
          <w:color w:val="auto"/>
        </w:rPr>
        <w:t>SOLICITATION/RECOMMENDATION STATEMENT UNDER SECTION 14(d)(4) OF THE SECURITIES EXCHANGE ACT OF 1934 (Amendment No. 3)</w:t>
      </w:r>
    </w:p>
    <w:p>
      <w:pPr>
        <w:spacing w:after="0" w:line="14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Calliditas Therapeutics AB (publ)</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Calliditas Therapeutics AB (publ)</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of Person Filing Statement)</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two Common Shares,</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quota value SEK 0.04 per share</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Common Shares, quota value SEK 0.04 per share</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13124Q106*</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Kungsbron 1, D5</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SE-111 22 Stockholm, Sweden</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Tel: +46 (0) 8 411 3005</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Attn: Renée Aguiar-Lucander, Chief Executive Officer</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on Behalf of the Person Filing Statement)</w:t>
      </w:r>
    </w:p>
    <w:p>
      <w:pPr>
        <w:spacing w:after="0" w:line="203" w:lineRule="exact"/>
        <w:rPr>
          <w:sz w:val="24"/>
          <w:szCs w:val="24"/>
          <w:color w:val="auto"/>
        </w:rPr>
      </w:pPr>
    </w:p>
    <w:tbl>
      <w:tblPr>
        <w:tblLayout w:type="fixed"/>
        <w:tblInd w:w="1812"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216"/>
        </w:trPr>
        <w:tc>
          <w:tcPr>
            <w:tcW w:w="27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Joshua A. Kaufman, Esq.</w:t>
            </w:r>
          </w:p>
        </w:tc>
        <w:tc>
          <w:tcPr>
            <w:tcW w:w="48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Dain Hård Nevonen</w:t>
            </w:r>
          </w:p>
        </w:tc>
      </w:tr>
      <w:tr>
        <w:trPr>
          <w:trHeight w:val="216"/>
        </w:trPr>
        <w:tc>
          <w:tcPr>
            <w:tcW w:w="27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Sanjay M. Shirodkar, Esq.</w:t>
            </w:r>
          </w:p>
        </w:tc>
        <w:tc>
          <w:tcPr>
            <w:tcW w:w="48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Advokatfirman Vinge KB</w:t>
            </w:r>
          </w:p>
        </w:tc>
      </w:tr>
      <w:tr>
        <w:trPr>
          <w:trHeight w:val="216"/>
        </w:trPr>
        <w:tc>
          <w:tcPr>
            <w:tcW w:w="27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DLA Piper LLP (US)</w:t>
            </w:r>
          </w:p>
        </w:tc>
        <w:tc>
          <w:tcPr>
            <w:tcW w:w="488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Smålandsgatan 20, Box 1703</w:t>
            </w:r>
          </w:p>
        </w:tc>
      </w:tr>
      <w:tr>
        <w:trPr>
          <w:trHeight w:val="216"/>
        </w:trPr>
        <w:tc>
          <w:tcPr>
            <w:tcW w:w="27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c>
          <w:tcPr>
            <w:tcW w:w="48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8"/>
              </w:rPr>
              <w:t>111 87 Stockholm</w:t>
            </w:r>
          </w:p>
        </w:tc>
      </w:tr>
      <w:tr>
        <w:trPr>
          <w:trHeight w:val="238"/>
        </w:trPr>
        <w:tc>
          <w:tcPr>
            <w:tcW w:w="27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New York, New York 10020</w:t>
            </w:r>
          </w:p>
        </w:tc>
        <w:tc>
          <w:tcPr>
            <w:tcW w:w="488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+46 (0)10 614 30 96</w:t>
            </w:r>
          </w:p>
        </w:tc>
      </w:tr>
    </w:tbl>
    <w:p>
      <w:pPr>
        <w:ind w:left="2792" w:hanging="431"/>
        <w:spacing w:after="0"/>
        <w:tabs>
          <w:tab w:leader="none" w:pos="2792"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335-4640</w:t>
      </w:r>
    </w:p>
    <w:p>
      <w:pPr>
        <w:spacing w:after="0" w:line="206"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9" w:lineRule="exact"/>
        <w:rPr>
          <w:sz w:val="24"/>
          <w:szCs w:val="24"/>
          <w:color w:val="auto"/>
        </w:rPr>
      </w:pPr>
    </w:p>
    <w:p>
      <w:pPr>
        <w:ind w:left="492" w:hanging="492"/>
        <w:spacing w:after="0"/>
        <w:tabs>
          <w:tab w:leader="none" w:pos="492"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CUSIP number is assigned to the Subject Company’s American Depositary Shares, each representing two (2)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517525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430" w:right="1440" w:bottom="1440" w:gutter="0" w:footer="0" w:header="0"/>
        </w:sectPr>
      </w:pPr>
    </w:p>
    <w:bookmarkStart w:id="1" w:name="page2"/>
    <w:bookmarkEnd w:id="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Amendment No. 3 (this “Amendment”) amends and supplements the Solicitation/Recommendation Statement on Schedule 14D-9 filed by Calliditas Therapeutics AB (publ), a public limited liability company organized under the laws of Sweden (“Calliditas” or the “Company”), with the Securities and Exchange Commission (the “SEC”) on July 22, 2024, and amended on August 2, 2024 and September 3, 2024 (as amended or supplemented from time to time, the “Schedule 14D-9”), relating to the tender offer by Asahi Kasei Corporation, a public stock company organized under the laws of Japan (“Asahi Kasei”, or the “Buyer”), to acquire all of the outstanding common shares, quota value SEK 0.04 per share, of Calliditas (each, a “Common Share” and, collectively, the “Common Shares”) held by U.S. persons (the “U.S. Common Shares”) and American Depositary Shares, each representing two Common Shares (each, an “ADS” and, collectively, the “ADSs”) of Calliditas in exchange for SEK 208 per Common Share, representing SEK 416 per ADS, in cash, without interest (such amount per U.S. Common Share and ADS paid pursuant to the U.S. Offer, the “Offer Consideration”) upon the terms and subject to the conditions set forth in the Offer to Purchase, dated July 18, 2024 (together with any amendments or supplements thereto, the “Offer to Purchase”), and in the accompanying Acceptance Form for Shares (together with any amendments or supplements thereto, the “Acceptance Form for Shares” and Letter of Transmittal for ADSs (together with any amendments or supplements thereto, the “ADS Letter of Transmittal” and, together with the Offer to Purchase, the Acceptance Form for Shares and other related materials, as each may be amended or supplemented from time to time, the “U.S. Offer”). The U.S. Offer was made in conjunction with an offer by the Buyer in Sweden directed to holders of Shares, but not holders of ADSs (the “Swedish Offer,” and together with the U.S. Offer, the “Offers”).</w:t>
      </w:r>
    </w:p>
    <w:p>
      <w:pPr>
        <w:spacing w:after="0" w:line="19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14D-9 remains unchanged. This Amendment is being filed to amend and supplement the Items set forth below.</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Item 2, “</w:t>
      </w:r>
      <w:r>
        <w:rPr>
          <w:rFonts w:ascii="Times New Roman" w:cs="Times New Roman" w:eastAsia="Times New Roman" w:hAnsi="Times New Roman"/>
          <w:sz w:val="18"/>
          <w:szCs w:val="18"/>
          <w:b w:val="1"/>
          <w:bCs w:val="1"/>
          <w:i w:val="1"/>
          <w:iCs w:val="1"/>
          <w:color w:val="auto"/>
        </w:rPr>
        <w:t>Identity and Background of Filing Person—Tender Offer</w:t>
      </w:r>
      <w:r>
        <w:rPr>
          <w:rFonts w:ascii="Times New Roman" w:cs="Times New Roman" w:eastAsia="Times New Roman" w:hAnsi="Times New Roman"/>
          <w:sz w:val="18"/>
          <w:szCs w:val="18"/>
          <w:color w:val="auto"/>
        </w:rPr>
        <w:t>” of the Schedule 14D-9 is hereby amended and supplemented by adding the following language below the last paragraph of such section: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12, 2024, the Company repaid the balance of its credit facility with Athyrium with funds from the Asahi Kasei Loan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Subsequent U.S. Offering Period expired as scheduled at 6:00 p.m., Eastern time, on September 13, 2024. Skandinaviska Enskilda Banken, the tender agent for the Shares, has advised Buyer that, as of 6:00 p.m., Eastern time, on September 13, 2024, approximately 2,705,385 Shares have been validly tendered and not properly withdrawn during the Subsequent U.S. Offering Period and the subsequent offering period by Buyer in Sweden of the Swedish Offer. Computershare Trust Company, N.A., the tender agent for the ADSs, has advised Buyer that, as of 6:00 p.m., Eastern time, on September 13, 2024, 18,947 ADSs have been validly tendered and not properly withdrawn during the Subsequent U.S. Offering Period. These Shares and ADSs collectively represent approximately 5.08% of the outstanding Shares as of such time. Accordingly, 45,693,876 Shares and 1,047,547 ADSs, corresponding to a total of 88.44% of the outstanding Shares, were tendered. On September 16, 2024, Buyer accepted for payment all Offer Securities that were validly tendered during the Subsequent U.S. Offering Period. Further, as previously disclosed, following the announcement of the Offers, Asahi Kasei acquired 5,367,206 Shares, approximately 9.93% of the outstanding Shares, outside the Offers. Altogether, this means that, upon settlement of the Subsequent U.S. Offering Period and the subsequent offering period by Buyer in Sweden of the Swedish Offer, Asahi Kasei will own 53,156,176 Shares, corresponding to a total of 98.38% of the outstanding Shares of Calliditas.”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9 of the Schedule 14D-9 is hereby amended and supplemented by adding the following exhibit: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160" w:type="dxa"/>
            <w:vAlign w:val="bottom"/>
            <w:tcBorders>
              <w:top w:val="single" w:sz="8" w:color="auto"/>
            </w:tcBorders>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8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8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jc w:val="both"/>
        <w:ind w:left="800" w:right="20" w:hanging="799"/>
        <w:spacing w:after="0" w:line="276"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(a)(5)(K)</w:t>
        <w:tab/>
      </w:r>
      <w:hyperlink r:id="rId15">
        <w:r>
          <w:rPr>
            <w:rFonts w:ascii="Times New Roman" w:cs="Times New Roman" w:eastAsia="Times New Roman" w:hAnsi="Times New Roman"/>
            <w:sz w:val="18"/>
            <w:szCs w:val="18"/>
            <w:u w:val="single" w:color="auto"/>
            <w:color w:val="0000EE"/>
          </w:rPr>
          <w:t>English version of press release issued by Asahi Kasei (incorporated by reference to Exhibit (a)(5)(T) of the Schedule TO/A filed by Asahi</w:t>
        </w:r>
      </w:hyperlink>
      <w:r>
        <w:rPr>
          <w:rFonts w:ascii="Times New Roman" w:cs="Times New Roman" w:eastAsia="Times New Roman" w:hAnsi="Times New Roman"/>
          <w:sz w:val="18"/>
          <w:szCs w:val="18"/>
          <w:u w:val="single" w:color="auto"/>
          <w:color w:val="0000EE"/>
        </w:rPr>
        <w:t xml:space="preserve"> </w:t>
      </w:r>
      <w:hyperlink r:id="rId15">
        <w:r>
          <w:rPr>
            <w:rFonts w:ascii="Times New Roman" w:cs="Times New Roman" w:eastAsia="Times New Roman" w:hAnsi="Times New Roman"/>
            <w:sz w:val="18"/>
            <w:szCs w:val="18"/>
            <w:u w:val="single" w:color="auto"/>
            <w:color w:val="0000EE"/>
          </w:rPr>
          <w:t>Kasei with the SEC on September 16,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Schedule 14D-9 is true, complete and correct.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CALLIDITAS THERAPEUTICS AB (PUBL)</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2024</w:t>
            </w: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Renée Aguiar-Lucander</w:t>
            </w:r>
          </w:p>
        </w:tc>
      </w:tr>
      <w:tr>
        <w:trPr>
          <w:trHeight w:val="191"/>
        </w:trPr>
        <w:tc>
          <w:tcPr>
            <w:tcW w:w="3760" w:type="dxa"/>
            <w:vAlign w:val="bottom"/>
          </w:tcPr>
          <w:p>
            <w:pPr>
              <w:spacing w:after="0"/>
              <w:rPr>
                <w:sz w:val="16"/>
                <w:szCs w:val="16"/>
                <w:color w:val="auto"/>
              </w:rPr>
            </w:pPr>
          </w:p>
        </w:tc>
        <w:tc>
          <w:tcPr>
            <w:tcW w:w="25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Renée Aguiar-Lucander</w:t>
            </w:r>
          </w:p>
        </w:tc>
      </w:tr>
      <w:tr>
        <w:trPr>
          <w:trHeight w:val="234"/>
        </w:trPr>
        <w:tc>
          <w:tcPr>
            <w:tcW w:w="3760" w:type="dxa"/>
            <w:vAlign w:val="bottom"/>
          </w:tcPr>
          <w:p>
            <w:pPr>
              <w:spacing w:after="0"/>
              <w:rPr>
                <w:sz w:val="20"/>
                <w:szCs w:val="20"/>
                <w:color w:val="auto"/>
              </w:rPr>
            </w:pPr>
          </w:p>
        </w:tc>
        <w:tc>
          <w:tcPr>
            <w:tcW w:w="25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07"/>
        </w:trPr>
        <w:tc>
          <w:tcPr>
            <w:tcW w:w="3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5" Type="http://schemas.openxmlformats.org/officeDocument/2006/relationships/hyperlink" Target="https://www.sec.gov/Archives/edgar/data/1446531/000117494724001076/sctot0924exa5t_asahi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2024-09-18T05:10:01Z</dcterms:created>
  <dcterms:modified xsi:type="dcterms:W3CDTF">2024-09-18T05:10:01Z</dcterms:modified>
</cp:coreProperties>
</file>