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15F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A FOREIGN PRIVATE ISSUER’S TERMINATION OF REGISTRATION OF A CLASS OF SECURITIES UNDER SECTION 12(g) OF THE SECURITIES EXCHANGE ACT OF 1934 OR ITS TERMINATION OF THE DUTY TO FILE REPORTS UNDER SECTION 13(a) OR SECTION 15(d) OF THE SECURITIES EXCHANGE ACT OF 1934 Commission File Number: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CALLIDITAS THERAPEUTICS AB</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SE-111 22 Stockholm, Sweden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+46 (0) 8 411 3005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representing two Common Shares, quota value SEK 0.04 per share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quota value SEK 0.04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7" w:lineRule="exact"/>
        <w:rPr>
          <w:sz w:val="24"/>
          <w:szCs w:val="24"/>
          <w:color w:val="auto"/>
        </w:rPr>
      </w:pPr>
    </w:p>
    <w:p>
      <w:pPr>
        <w:ind w:right="440" w:firstLine="53"/>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w:t>
      </w:r>
    </w:p>
    <w:p>
      <w:pPr>
        <w:spacing w:after="0" w:line="162"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Place an X in the appropriate box(es) to indicate the provision(s) relied upon to terminate the duty to file reports under the Securities Exchange Act of 1934:</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554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12h-6(a) </w:t>
            </w:r>
            <w:r>
              <w:rPr>
                <w:rFonts w:ascii="MS PGothic" w:cs="MS PGothic" w:eastAsia="MS PGothic" w:hAnsi="MS PGothic"/>
                <w:sz w:val="18"/>
                <w:szCs w:val="18"/>
                <w:color w:val="auto"/>
                <w:w w:val="97"/>
              </w:rPr>
              <w:t>☒</w:t>
            </w:r>
          </w:p>
        </w:tc>
        <w:tc>
          <w:tcPr>
            <w:tcW w:w="57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12h-6(d) </w:t>
            </w:r>
            <w:r>
              <w:rPr>
                <w:rFonts w:ascii="MS PGothic" w:cs="MS PGothic" w:eastAsia="MS PGothic" w:hAnsi="MS PGothic"/>
                <w:sz w:val="18"/>
                <w:szCs w:val="18"/>
                <w:color w:val="auto"/>
                <w:w w:val="98"/>
              </w:rPr>
              <w:t>☐</w:t>
            </w:r>
          </w:p>
        </w:tc>
      </w:tr>
      <w:tr>
        <w:trPr>
          <w:trHeight w:val="234"/>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equity securities)</w:t>
            </w:r>
          </w:p>
        </w:tc>
        <w:tc>
          <w:tcPr>
            <w:tcW w:w="5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(for successor registrants)</w:t>
            </w:r>
          </w:p>
        </w:tc>
      </w:tr>
      <w:tr>
        <w:trPr>
          <w:trHeight w:val="414"/>
        </w:trPr>
        <w:tc>
          <w:tcPr>
            <w:tcW w:w="554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12h-6(c) </w:t>
            </w:r>
            <w:r>
              <w:rPr>
                <w:rFonts w:ascii="MS PGothic" w:cs="MS PGothic" w:eastAsia="MS PGothic" w:hAnsi="MS PGothic"/>
                <w:sz w:val="18"/>
                <w:szCs w:val="18"/>
                <w:color w:val="auto"/>
                <w:w w:val="97"/>
              </w:rPr>
              <w:t>☐</w:t>
            </w:r>
          </w:p>
        </w:tc>
        <w:tc>
          <w:tcPr>
            <w:tcW w:w="57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12h-6(i) </w:t>
            </w:r>
            <w:r>
              <w:rPr>
                <w:rFonts w:ascii="MS PGothic" w:cs="MS PGothic" w:eastAsia="MS PGothic" w:hAnsi="MS PGothic"/>
                <w:sz w:val="18"/>
                <w:szCs w:val="18"/>
                <w:color w:val="auto"/>
                <w:w w:val="98"/>
              </w:rPr>
              <w:t>☐</w:t>
            </w:r>
          </w:p>
        </w:tc>
      </w:tr>
      <w:tr>
        <w:trPr>
          <w:trHeight w:val="234"/>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debt securities)</w:t>
            </w:r>
          </w:p>
        </w:tc>
        <w:tc>
          <w:tcPr>
            <w:tcW w:w="5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(for prior Form 15 filers)</w:t>
            </w:r>
          </w:p>
        </w:tc>
      </w:tr>
      <w:tr>
        <w:trPr>
          <w:trHeight w:val="216"/>
        </w:trPr>
        <w:tc>
          <w:tcPr>
            <w:tcW w:w="554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r>
      <w:tr>
        <w:trPr>
          <w:trHeight w:val="28"/>
        </w:trPr>
        <w:tc>
          <w:tcPr>
            <w:tcW w:w="554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675"/>
        </w:trPr>
        <w:tc>
          <w:tcPr>
            <w:tcW w:w="55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Exchange Act Reporting History</w:t>
      </w:r>
    </w:p>
    <w:p>
      <w:pPr>
        <w:spacing w:after="0" w:line="229" w:lineRule="exact"/>
        <w:rPr>
          <w:sz w:val="20"/>
          <w:szCs w:val="20"/>
          <w:color w:val="auto"/>
        </w:rPr>
      </w:pPr>
    </w:p>
    <w:p>
      <w:pPr>
        <w:ind w:left="660" w:hanging="652"/>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Calliditas Therapeutics AB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first incurred the duty to file reports under Section 13(a) or Section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June 4, 2020, the date that the Company’s Registration Statement was declared effective by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Prior to September 23, 2024, the Company’s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two common shares of the Company, quota value SEK 0.04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were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On September 13, 2024, the Company voluntarily filed a Form 25 with the Commission informing the Commission that the Company had determined to voluntarily delist the ADSs from listing on Nasdaq.</w:t>
      </w:r>
    </w:p>
    <w:p>
      <w:pPr>
        <w:spacing w:after="0" w:line="119"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submitted all reports required under Section 13(a) or Section 15(d) of the Exchange Act and the corresponding Commission rules for the 12 months preceding the filing of this Form 15F. The Company has filed at least one annual report under Section 13(a) of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United States Market Activity</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securities were last sold in the United States in a registered offering under the Securities Act of 1933, as amended, that was completed on June 9, 2020. On September 13, 2024, the Company filed amendments to its Registration Statement on Form F-3 (333-265881) and its two Registration Statements on Form S-8 (Nos. 333-240126 and 333-272594) to deregister any securities that remain unsold thereon, which amendments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Foreign Listing and Primary Trading Market</w:t>
      </w:r>
    </w:p>
    <w:p>
      <w:pPr>
        <w:spacing w:after="0" w:line="229" w:lineRule="exact"/>
        <w:rPr>
          <w:sz w:val="20"/>
          <w:szCs w:val="20"/>
          <w:color w:val="auto"/>
        </w:rPr>
      </w:pPr>
    </w:p>
    <w:p>
      <w:pPr>
        <w:ind w:left="660" w:right="18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trade under the symbol “CALTX” on the Nasdaq Stockholm stock exchange, which constitutes the primary trading market for such securities.</w:t>
      </w:r>
    </w:p>
    <w:p>
      <w:pPr>
        <w:spacing w:after="0" w:line="161" w:lineRule="exact"/>
        <w:rPr>
          <w:rFonts w:ascii="Times New Roman" w:cs="Times New Roman" w:eastAsia="Times New Roman" w:hAnsi="Times New Roman"/>
          <w:sz w:val="18"/>
          <w:szCs w:val="18"/>
          <w:color w:val="auto"/>
        </w:rPr>
      </w:pPr>
    </w:p>
    <w:p>
      <w:pPr>
        <w:ind w:left="660" w:right="78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were initially listed for trading on the Nasdaq Stockholm stock exchange on June 29, 2018, which listing has been maintained in excess of 12 months preceding the filing of this form.</w:t>
      </w:r>
    </w:p>
    <w:p>
      <w:pPr>
        <w:spacing w:after="0" w:line="161"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58.3% of trading in the Common Shares and ADSs, considered as a single class of securities, occurred on Nasdaq Stockholm, and 37.0% of trading occurred in transactions outside of Nasdaq Stockholm in jurisdictions other than the United States during the 12 months preceding the filing of this form. The total trading volume that occurred outside the United States during the 12 months preceding the filing of this form is therefore greater than 95%.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Comparative Trading Volume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trading volume data used to rely on Rule 12h-6(a)(4)(i)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recent 12-month period used to meet the requirements of Rule 12h-6(a)(4)(i) is September 5, 2023 to September 4, 2024.</w:t>
      </w:r>
    </w:p>
    <w:p>
      <w:pPr>
        <w:spacing w:after="0" w:line="1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 During the 12-month period beginning September 5, 2023 and ending September 4, 2024, the average daily trading volume of the ADSs in the United States was 24,038 shares and the average daily trading volume of the Common Shares and ADSs, considered as a single class of securities, on a worldwide basis was 522,866 shares.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 During the 12-month period beginning September 5, 2023 and ending September 4, 2024, the average daily trading volume of the ADSs in the United States represented 4.6% of the average daily trading volume of the Common Shares and ADSs, considered as a single class of securities, on a worldwide basis.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 On September 13, 2024, the Company filed a Form 25 with the Commission to delist its ADSs from the Nasdaq Global Select Market. At such time, for the preceding 12-month period, the average daily trading volume of the ADSs in the United States represented 4.6% of the average daily trading volume of the Common Shares and ADSs, considered as a single class of securities, on a worldwide basis.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 On September 2, 2024, the Company notified Citibank, N.A. that it intends to terminate its ADS facility. At such time, for the preceding 12-month period, the average daily trading volume of the ADSs in the United States represented 4.6% of the average daily trading volume of the Common Shares and ADSs, considered as a single class of securities, on a worldwide basis.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 The Company used trading data from the Nasdaq Stockholm, The Nasdaq Stock Market and FactSet to determine whether it meets the requirements of Rule 12h-6. The Company used the sources for trading volume information that it viewed as likely to have reliable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Alternative Record Holder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 Notice Requirement</w:t>
      </w:r>
    </w:p>
    <w:p>
      <w:pPr>
        <w:spacing w:after="0" w:line="229" w:lineRule="exact"/>
        <w:rPr>
          <w:sz w:val="20"/>
          <w:szCs w:val="20"/>
          <w:color w:val="auto"/>
        </w:rPr>
      </w:pPr>
    </w:p>
    <w:p>
      <w:pPr>
        <w:ind w:left="660" w:right="30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Rule 12h-6(h), the Company published a notice disclosing its intent to terminate its duty to file reports under section 13(a) and section 15(d) of the Exchange Act by means of a press release on September 3, 2024.</w:t>
      </w:r>
    </w:p>
    <w:p>
      <w:pPr>
        <w:spacing w:after="0" w:line="161"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was disseminated in the United States via press release and was also published on the Company’s website and filed as Exhibit 99.1 to the Form 6-K filed by the Company on September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Prior Form 15 Filers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Rule 12g3-2(b) Exemption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published the information required by Rule 12g3-2(b)(1)(iii) on its Internet Web site at: </w:t>
      </w:r>
      <w:r>
        <w:rPr>
          <w:rFonts w:ascii="Times New Roman" w:cs="Times New Roman" w:eastAsia="Times New Roman" w:hAnsi="Times New Roman"/>
          <w:sz w:val="18"/>
          <w:szCs w:val="18"/>
          <w:i w:val="1"/>
          <w:iCs w:val="1"/>
          <w:color w:val="auto"/>
        </w:rPr>
        <w:t>https://www.calliditas.se/en/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press release issued by the Company on September 3, 2024 is incorporated herein by reference to Exhibit 99.1 of the Form 6-K filed by the Company on September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Undertakings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issuer hereby undertakes to withdraw this Form 15F if, at any time before the effectiveness of its termination of reporting under Rule 12h-6, it has actual knowledge of information that causes it reasonably to believe that, at the time of filing the Form 15F:</w:t>
      </w:r>
    </w:p>
    <w:p>
      <w:pPr>
        <w:spacing w:after="0" w:line="162" w:lineRule="exact"/>
        <w:rPr>
          <w:sz w:val="20"/>
          <w:szCs w:val="20"/>
          <w:color w:val="auto"/>
        </w:rPr>
      </w:pPr>
    </w:p>
    <w:p>
      <w:pPr>
        <w:ind w:left="1340" w:right="260" w:hanging="671"/>
        <w:spacing w:after="0" w:line="266"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p>
      <w:pPr>
        <w:spacing w:after="0" w:line="175" w:lineRule="exact"/>
        <w:rPr>
          <w:rFonts w:ascii="Times New Roman" w:cs="Times New Roman" w:eastAsia="Times New Roman" w:hAnsi="Times New Roman"/>
          <w:sz w:val="18"/>
          <w:szCs w:val="18"/>
          <w:color w:val="auto"/>
        </w:rPr>
      </w:pPr>
    </w:p>
    <w:p>
      <w:pPr>
        <w:ind w:left="1340" w:right="20" w:hanging="671"/>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subject class of securities was held of record by 300 or more United States residents or 300 or more persons worldwide, if proceeding under Rule 12h-6(a)(4)(ii) or Rule 12h-6(c); or</w:t>
      </w:r>
    </w:p>
    <w:p>
      <w:pPr>
        <w:spacing w:after="0" w:line="161"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did not qualify for termination of its Exchange Act reporting obligations under Rule 12h-6.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Calliditas Therapeutics AB has duly authorized the undersigned person to sign on its behalf this certification on Form 15F. In so doing, Calliditas Therapeutics AB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CALLITIDAS THERAPEUTCS AB</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Renée Aguiar-Lucander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Renée Aguiar-Lucander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4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0" w:type="dxa"/>
            <w:vAlign w:val="bottom"/>
          </w:tcPr>
          <w:p>
            <w:pPr>
              <w:spacing w:after="0"/>
              <w:rPr>
                <w:sz w:val="24"/>
                <w:szCs w:val="24"/>
                <w:color w:val="auto"/>
              </w:rPr>
            </w:pPr>
          </w:p>
        </w:tc>
        <w:tc>
          <w:tcPr>
            <w:tcW w:w="9240" w:type="dxa"/>
            <w:vAlign w:val="bottom"/>
            <w:gridSpan w:val="2"/>
          </w:tcPr>
          <w:p>
            <w:pPr>
              <w:ind w:left="3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Press release, dated September 3, 2024 (incorporated by reference to Exhibit 99.1 of the Form 6-K filed by the Company on September</w:t>
              </w:r>
            </w:hyperlink>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8">
              <w:r>
                <w:rPr>
                  <w:rFonts w:ascii="Times New Roman" w:cs="Times New Roman" w:eastAsia="Times New Roman" w:hAnsi="Times New Roman"/>
                  <w:sz w:val="18"/>
                  <w:szCs w:val="18"/>
                  <w:color w:val="0000EE"/>
                  <w:w w:val="96"/>
                </w:rPr>
                <w:t>3, 2024).</w:t>
              </w:r>
            </w:hyperlink>
          </w:p>
        </w:tc>
        <w:tc>
          <w:tcPr>
            <w:tcW w:w="9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s://www.sec.gov/Archives/edgar/data/1795579/000110465924096379/tm2423167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2024-09-23T15:52:57Z</dcterms:created>
  <dcterms:modified xsi:type="dcterms:W3CDTF">2024-09-23T15:52:57Z</dcterms:modified>
</cp:coreProperties>
</file>